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362 vom 28. September 1979</w:t>
      </w:r>
    </w:p>
    <w:p>
      <w:r>
        <w:t>Bundesgericht (BGE), 1979-09-28, FR</w:t>
      </w:r>
    </w:p>
    <w:p>
      <w:r>
        <w:rPr>
          <w:b/>
        </w:rPr>
        <w:t xml:space="preserve">Quelle: </w:t>
      </w:r>
      <w:r>
        <w:t>https://mcp.opencaselaw.ch/entscheid/bge_105 IA 362</w:t>
      </w:r>
    </w:p>
    <w:p>
      <w:r>
        <w:t>FR: BGE 105 IA 362 du 28 septembre 1979</w:t>
      </w:r>
    </w:p>
    <w:p>
      <w:r>
        <w:t>IT: BGE 105 IA 362 del 28 settembre 1979</w:t>
      </w:r>
    </w:p>
    <w:p>
      <w:pPr>
        <w:pStyle w:val="Heading2"/>
      </w:pPr>
      <w:r>
        <w:t>Regeste</w:t>
      </w:r>
    </w:p>
    <w:p>
      <w:r>
        <w:t>Regeste Art. 85 lit. a OG; Ungültigerklärung einer Volksinitiative. 1. Nicht formulierte Initiative im genferischen Recht; Zuständigkeit zur Ungültigerklärung einer bundesrechtswidrigen Initiative (E. 2). 2. Volle oder Teilungültigkeit einer Initiative; die Rechtsfolge muss verhältnismässig sein zur Nichtbeachtung der Norm; Abgrenzung des Problems der Teilungültigkeit von demjenigen der Einheit der Materie (E. 3). 3. Auslegung einer Initiative; die zulässige Weite der Auslegung hängt davon ab, ob es sich um eine formulierte oder nicht formulierte Initiative handelt; obwohl die nicht formulierte Initiative nur Wünsche enthält und somit anpassungsfähig ist, kann sie sich unter Umständen als verfassungswidrig erweisen (E. 4). 4. Gesamtwürdigung der Initiative; konkrete Folgen der Gutheissung der Beschwerde (E. 9).</w:t>
      </w:r>
    </w:p>
    <w:p>
      <w:pPr>
        <w:pStyle w:val="Heading2"/>
      </w:pPr>
      <w:r>
        <w:t>Erwägungen</w:t>
      </w:r>
    </w:p>
    <w:p>
      <w:r>
        <w:rPr>
          <w:b/>
        </w:rPr>
        <w:t>E. 1</w:t>
      </w:r>
    </w:p>
    <w:p>
      <w:r>
        <w:t>Nicht formulierte Initiative im genferischen Recht; Zuständigkeit zur Ungültigerklärung einer bundesrechtswidrigen Initiative (E. 2).</w:t>
      </w:r>
    </w:p>
    <w:p>
      <w:r>
        <w:rPr>
          <w:b/>
        </w:rPr>
        <w:t>E. 2</w:t>
      </w:r>
    </w:p>
    <w:p>
      <w:r>
        <w:t>Volle oder Teilungültigkeit einer Initiative; die Rechtsfolge muss verhältnismässig sein zur Nichtbeachtung der Norm; Abgrenzung des Problems der Teilungültigkeit von demjenigen der Einheit der Materie (E. 3).</w:t>
      </w:r>
    </w:p>
    <w:p>
      <w:r>
        <w:rPr>
          <w:b/>
        </w:rPr>
        <w:t>E. 3</w:t>
      </w:r>
    </w:p>
    <w:p>
      <w:r>
        <w:t>Auslegung einer Initiative; die zulässige Weite der Auslegung hängt davon ab, ob es sich um eine formulierte oder nicht formulierte Initiative handelt; obwohl die nicht formulierte Initiative nur Wünsche enthält und somit anpassungsfähig ist, kann sie sich unter Umständen als verfassungswidrig erweisen (E. 4).</w:t>
      </w:r>
    </w:p>
    <w:p>
      <w:r>
        <w:rPr>
          <w:b/>
        </w:rPr>
        <w:t>E. 4</w:t>
      </w:r>
    </w:p>
    <w:p>
      <w:r>
        <w:t>(Interprétation d'une initiative.) Selon le Tribunal fédéral, lorsqu'il y a lieu à interprétation, le texte d'une initiative populaire doit s'interpréter pour lui-même et non d'après la volonté subjective des initiants ( ATF 105 Ia 154 consid. 3a in fine). Une nombreuse jurisprudence rappelle aussi que, dans le cadre du contrôle abstrait des normes, une initiative doit s'interpréter dans un sens qui lui donne une signification ( ATF 104 Ia 348 , ATF 103 Ia 440 , ATF 101 Ia 367 et références citées) et que les lois et arrêtés cantonaux ne sont annulés que s'ils ne peuvent pas être interprétés dans un sens conforme à la norme supérieure ( ATF 104 Ia 250 ). Si cette règle vaut pour des textes déjà adoptés par le législateur cantonal, elle vaudra à fortiori pour des textes qu'une initiative propose à son acceptation (cf. ZBl 78 (1977), p. 213; ATF 104 Ia 348 ). Lorsqu'une initiative est rédigée sous forme de projet de loi, la marge d'interprétation est plus étroite: si l'initiative est acceptée, elle deviendra elle-même texte légal (sous réserve d'une annulation éventuelle par le Tribunal fédéral) et une adaptation aux exigences du droit de rang supérieur ne pourra avoir lieu qu'au stade de l'exécution de la loi. Au contraire, lorsque l'initiative ne comporte que des voeux, si elle est acceptée, il appartiendra au pouvoir législatif ordinaire de rédiger un texte respectant à la fois la volonté exprimée dans l'initiative et les exigences du droit en vigueur; les imperfections du texte de l'initiative pourront alors être corrigées dans la procédure d'adoption de la loi. On ne saurait pour autant en inférer que le contenu d'une initiative non formulée ne saurait jamais aller à l'encontre de la constitution, car étant toujours susceptible d'être adaptée à celle-ci dans la procédure législative proprement dite. Il se peut, en effet, que soit le but soit les moyens proposés dans l'initiative ne soient pas conformes aux exigences constitutionnelles. Lorsque le projet contenu dans l'initiative ne pourrait être reconnu conforme à la constitution que moyennant l'adjonction de réserves ou conditions supplémentaires qui en modifient profondément la nature, cette méthode BGE 105 Ia 362 S. 367 d'interprétation entre en conflit avec le respect de la volonté des signataires de l'initiative et du peuple, dont la volonté ne doit pas être faussée par la présentation d'un projet constitutionnellement irréalisable comme tel, mais réalisable seulement dans d'autres conditions.</w:t>
      </w:r>
    </w:p>
    <w:p>
      <w:r>
        <w:rPr>
          <w:b/>
        </w:rPr>
        <w:t>E. 5</w:t>
      </w:r>
    </w:p>
    <w:p>
      <w:r>
        <w:t>(L'interdiction de démolir et transformer proposée par l'initiative n'a de portée nouvelle que pour les bâtiments qui ne sont pas des maisons d'habitation au sens de la loi genevoise du 17 octobre 1962 restreignant les démolitions et transformations de maisons d habitation en raison de la pénurie de logements. Appliquée aux immeubles industriels, commerciaux et administratifs, une telle interdiction se révèle contraire à la constitution.)</w:t>
      </w:r>
    </w:p>
    <w:p>
      <w:r>
        <w:rPr>
          <w:b/>
        </w:rPr>
        <w:t>E. 6</w:t>
      </w:r>
    </w:p>
    <w:p>
      <w:r>
        <w:t>(En ce qui concerne la composition de la Commission de recours, l'initiative propose une solution qui est contraire au principe d'égalité.)</w:t>
      </w:r>
    </w:p>
    <w:p>
      <w:r>
        <w:rPr>
          <w:b/>
        </w:rPr>
        <w:t>E. 7</w:t>
      </w:r>
    </w:p>
    <w:p>
      <w:r>
        <w:t>(Le chap. II de l'initiative, intitulé "Rénovation de l'habitat", propose une réglementation qui n'apparaît pas exhaustive et pourrait au besoin être complétée par le législateur. Au demeurant, cette réglementation n est pas contraire au droit fédéral.)</w:t>
      </w:r>
    </w:p>
    <w:p>
      <w:r>
        <w:rPr>
          <w:b/>
        </w:rPr>
        <w:t>E. 8</w:t>
      </w:r>
    </w:p>
    <w:p>
      <w:r>
        <w:t>(Le dépôt d'un projet de loi par des députés ne saurait priver les citoyens actifs de leur droit de former une initiative ayant un objet semblable ou voisin.)</w:t>
      </w:r>
    </w:p>
    <w:p>
      <w:r>
        <w:rPr>
          <w:b/>
        </w:rPr>
        <w:t>E. 9</w:t>
      </w:r>
    </w:p>
    <w:p>
      <w:r>
        <w:t>(Appréciation globale.) En résumé, l'initiative apparaît contraire au droit fédéral], dans la mesure où elle applique l'interdiction de démolir et transformer aux bâtiments industriels, commerciaux et administratifs et en ce qui concerne la composition de la Commission de recours. Pour le surplus, elle n'apparaît pas contraire au droit fédéral; ses imprécisions et ses lacunes peuvent en outre faire l'objet d'une interprétation susceptible de lui donner un sens constitutionnel. On peut hésiter quant à la sanction. La composition de l'autorité de recours peut être considérée comme un point relativement secondaire. En revanche, l'invalidité de l'interdiction de démolir et transformer des immeubles industriels, commerciaux et administratifs est importante; elle vide de signification la plus grande partie du chap. 1 al. 1 de l'initiative; le fait que cette interdiction, pour les maisons d'habitation, n'aurait plus de limitation dans le temps n'a pas une grande portée BGE 105 Ia 362 S. 368 pratique; au chap. I subsiste en outre le système de l'autorité de recours. Les chap. II et III ne sont pas contraires au droit fédéral. Si les signataires de l'initiative n ont pas autorisé un retrait ou une modification de celle-ci, en revanche les recourants ne voient pas d'inconvénient à une restriction de leur initiative dans la mesure reconnue constitutionnelle. En l'espèce, on peut supposer que cette attitude correspond à la pensée de la majorité des auteurs de l'initiative. Par ailleurs, la partie valide de cette dernière demeure malgré tout importante et l'on peut objectivement admettre que les signataires de l'initiative l'auraient également signée dans cette mesure restreinte. Aussi convient-il d'admettre le recours dans le sens des considérants et d'annuler la décision du Grand Conseil. Conformément à l' art. 67 Cst. gen., celui-ci peut dès lors soit rédiger un projet, soit refuser d'entrer en matière. S'il opte pour cette seconde solution, la consultation populaire, en l'état, risque certes de ne pas être très claire pour le corps électoral. Il est cependant possible de remédier à cette incertitude des citoyens, notamment en accompagnant le texte qui leur est soumis de notes marginales ou d'un message indiquant dans les grandes lignes les points de l'initiative qui, conformément au présent arrêt, sont conformes ou non au droit fédéral. Il y a lieu de préciser à cet égard que le Grand Conseil jouit d'une entière liberté dans le choix des moyens à sa disposition.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